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2B78" w14:textId="77777777" w:rsidR="00E82495" w:rsidRDefault="0014662A" w:rsidP="0014662A">
      <w:pPr>
        <w:shd w:val="clear" w:color="auto" w:fill="FFFFFF"/>
        <w:spacing w:before="120" w:after="120" w:line="336" w:lineRule="atLeast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noProof/>
        </w:rPr>
        <w:drawing>
          <wp:inline distT="0" distB="0" distL="0" distR="0" wp14:anchorId="4E11E6C3" wp14:editId="1FCE9D02">
            <wp:extent cx="5317331" cy="1933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40" cy="196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5303" w14:textId="77777777" w:rsidR="004D07B4" w:rsidRPr="005C62A9" w:rsidRDefault="004D07B4" w:rsidP="0014662A">
      <w:pPr>
        <w:shd w:val="clear" w:color="auto" w:fill="FFFFFF"/>
        <w:spacing w:before="120" w:after="120" w:line="336" w:lineRule="atLeast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5C62A9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NOTICE EXPLICATIVE</w:t>
      </w:r>
    </w:p>
    <w:p w14:paraId="16CA91AE" w14:textId="77777777" w:rsidR="004D07B4" w:rsidRPr="005C62A9" w:rsidRDefault="004D07B4" w:rsidP="004D07B4">
      <w:p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4436FCA" w14:textId="77777777" w:rsidR="004D07B4" w:rsidRPr="005C62A9" w:rsidRDefault="004D07B4" w:rsidP="004D07B4">
      <w:p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A247F55" w14:textId="5F642752" w:rsidR="004D07B4" w:rsidRPr="00A4702D" w:rsidRDefault="004D07B4" w:rsidP="004D07B4">
      <w:p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La Communauté d’Agglomération du Pays de Fontainebleau (CAPF</w:t>
      </w:r>
      <w:r w:rsidR="00D0285F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>procède au lancement de la procédure d’enquête publique préalable à l’approbation définitive des plans de zonages d’assainissement</w:t>
      </w:r>
      <w:r w:rsidR="00FF3298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des Communes de Bois le Roi et Chartrettes, ainsi que Fontaine le Port en lieu et place de la Communauté de Communes Brie Rivières et Châteaux.  </w:t>
      </w:r>
    </w:p>
    <w:p w14:paraId="4535CFE6" w14:textId="77777777" w:rsidR="004D07B4" w:rsidRPr="00A4702D" w:rsidRDefault="004D07B4" w:rsidP="004D07B4">
      <w:p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Cette procédure d’enquête publique a pour but : </w:t>
      </w:r>
    </w:p>
    <w:p w14:paraId="3C75733C" w14:textId="77777777" w:rsidR="004D07B4" w:rsidRPr="00A4702D" w:rsidRDefault="004D07B4" w:rsidP="004D07B4">
      <w:pPr>
        <w:pStyle w:val="Paragraphedeliste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De porter à connaissance du public, un maximum d’informations administratives et techniques ainsi que sur les conséquences financières du Schéma directeur d’Assainissement et du plan de zonage d’assainissement.</w:t>
      </w:r>
    </w:p>
    <w:p w14:paraId="00D2A5FC" w14:textId="77777777" w:rsidR="004D07B4" w:rsidRPr="00A4702D" w:rsidRDefault="004D07B4" w:rsidP="004D07B4">
      <w:pPr>
        <w:pStyle w:val="Paragraphedeliste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De permettre au public de consigner éventuellement ses observations sur le registre d’enquête ou de les adresser au commissaire-Enquêteur</w:t>
      </w:r>
    </w:p>
    <w:p w14:paraId="2C365837" w14:textId="77777777" w:rsidR="004D07B4" w:rsidRPr="00A4702D" w:rsidRDefault="004D07B4" w:rsidP="004D07B4">
      <w:pPr>
        <w:pStyle w:val="Paragraphedeliste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De répondre aux demandes d’information présentées par le public</w:t>
      </w:r>
    </w:p>
    <w:p w14:paraId="3D59441B" w14:textId="3D221CFC" w:rsidR="00D0285F" w:rsidRPr="00A4702D" w:rsidRDefault="004D07B4" w:rsidP="004D07B4">
      <w:pPr>
        <w:shd w:val="clear" w:color="auto" w:fill="FFFFFF"/>
        <w:spacing w:before="120" w:after="120" w:line="336" w:lineRule="atLeast"/>
        <w:ind w:left="-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Les dossiers d’enquête portent sur les projets de zonage de la commune de </w:t>
      </w:r>
      <w:r w:rsidR="00D0285F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Bois le Roi, Chartrettes et Fontaine le Port. </w:t>
      </w:r>
    </w:p>
    <w:p w14:paraId="0DC96C29" w14:textId="77777777" w:rsidR="004D07B4" w:rsidRPr="00A4702D" w:rsidRDefault="004D07B4" w:rsidP="004D07B4">
      <w:pPr>
        <w:shd w:val="clear" w:color="auto" w:fill="FFFFFF"/>
        <w:spacing w:before="120" w:after="120" w:line="336" w:lineRule="atLeast"/>
        <w:ind w:left="-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A cet effet, les documents consultables sont : </w:t>
      </w:r>
    </w:p>
    <w:p w14:paraId="0347150C" w14:textId="77777777" w:rsidR="004D07B4" w:rsidRPr="00A4702D" w:rsidRDefault="00BF3C87" w:rsidP="004D07B4">
      <w:pPr>
        <w:pStyle w:val="Paragraphedeliste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Le d</w:t>
      </w:r>
      <w:r w:rsidR="004D07B4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ossier administratif composé de </w:t>
      </w:r>
    </w:p>
    <w:p w14:paraId="58FF3105" w14:textId="54BE657D" w:rsidR="004D07B4" w:rsidRPr="00A4702D" w:rsidRDefault="004D07B4" w:rsidP="004D07B4">
      <w:pPr>
        <w:pStyle w:val="Paragraphedeliste"/>
        <w:numPr>
          <w:ilvl w:val="1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L’Arrêté communautaire </w:t>
      </w:r>
      <w:r w:rsidR="00035EE6" w:rsidRPr="00A4702D">
        <w:rPr>
          <w:rFonts w:ascii="Arial" w:eastAsia="Times New Roman" w:hAnsi="Arial" w:cs="Arial"/>
          <w:sz w:val="20"/>
          <w:szCs w:val="20"/>
          <w:lang w:eastAsia="fr-FR"/>
        </w:rPr>
        <w:t>2020-</w:t>
      </w:r>
      <w:r w:rsidR="0060774B">
        <w:rPr>
          <w:rFonts w:ascii="Arial" w:eastAsia="Times New Roman" w:hAnsi="Arial" w:cs="Arial"/>
          <w:sz w:val="20"/>
          <w:szCs w:val="20"/>
          <w:lang w:eastAsia="fr-FR"/>
        </w:rPr>
        <w:t>040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portant ouverture à enquête publique,</w:t>
      </w:r>
    </w:p>
    <w:p w14:paraId="5108677B" w14:textId="09F43C1E" w:rsidR="004D07B4" w:rsidRPr="00A4702D" w:rsidRDefault="00D0285F" w:rsidP="004D07B4">
      <w:pPr>
        <w:pStyle w:val="Paragraphedeliste"/>
        <w:numPr>
          <w:ilvl w:val="1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="004D07B4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>la d</w:t>
      </w:r>
      <w:r w:rsidR="004D07B4" w:rsidRPr="00A4702D">
        <w:rPr>
          <w:rFonts w:ascii="Arial" w:eastAsia="Times New Roman" w:hAnsi="Arial" w:cs="Arial"/>
          <w:sz w:val="20"/>
          <w:szCs w:val="20"/>
          <w:lang w:eastAsia="fr-FR"/>
        </w:rPr>
        <w:t>élibération communautaire n°</w:t>
      </w:r>
      <w:r w:rsidR="00FF3298" w:rsidRPr="00A4702D">
        <w:rPr>
          <w:rFonts w:ascii="Arial" w:eastAsia="Times New Roman" w:hAnsi="Arial" w:cs="Arial"/>
          <w:sz w:val="20"/>
          <w:szCs w:val="20"/>
          <w:lang w:eastAsia="fr-FR"/>
        </w:rPr>
        <w:t>2019-170</w:t>
      </w:r>
      <w:r w:rsidR="004D07B4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approuvant le</w:t>
      </w:r>
      <w:r w:rsidR="00FF3298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lancement de l’enquête publique préalable à l’approbation des plans de zonage </w:t>
      </w:r>
      <w:r w:rsidR="004D07B4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>Bois le Roi et Chartrettes</w:t>
      </w:r>
      <w:r w:rsidR="00FF3298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et Fontaine le Port. </w:t>
      </w:r>
    </w:p>
    <w:p w14:paraId="4A76C248" w14:textId="6D506AF9" w:rsidR="004D07B4" w:rsidRPr="00A4702D" w:rsidRDefault="004D07B4" w:rsidP="004D07B4">
      <w:pPr>
        <w:pStyle w:val="Paragraphedeliste"/>
        <w:numPr>
          <w:ilvl w:val="1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L’ordonna</w:t>
      </w:r>
      <w:r w:rsidR="00BF3C87" w:rsidRPr="00A4702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>ce tu Tribunal administrat</w:t>
      </w:r>
      <w:r w:rsidR="00BF3C87" w:rsidRPr="00A4702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>f n°E</w:t>
      </w:r>
      <w:r w:rsidR="00413984" w:rsidRPr="00A4702D">
        <w:rPr>
          <w:rFonts w:ascii="Arial" w:eastAsia="Times New Roman" w:hAnsi="Arial" w:cs="Arial"/>
          <w:sz w:val="20"/>
          <w:szCs w:val="20"/>
          <w:lang w:eastAsia="fr-FR"/>
        </w:rPr>
        <w:t>20</w:t>
      </w:r>
      <w:r w:rsidR="00916BBC" w:rsidRPr="00A4702D">
        <w:rPr>
          <w:rFonts w:ascii="Arial" w:eastAsia="Times New Roman" w:hAnsi="Arial" w:cs="Arial"/>
          <w:sz w:val="20"/>
          <w:szCs w:val="20"/>
          <w:lang w:eastAsia="fr-FR"/>
        </w:rPr>
        <w:t>000033/77</w:t>
      </w:r>
      <w:r w:rsidR="00413984"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portant désignation du Commissaire enquêteur, </w:t>
      </w:r>
    </w:p>
    <w:p w14:paraId="490833E0" w14:textId="77777777" w:rsidR="004D07B4" w:rsidRPr="00A4702D" w:rsidRDefault="00BF3C87" w:rsidP="004D07B4">
      <w:pPr>
        <w:pStyle w:val="Paragraphedeliste"/>
        <w:numPr>
          <w:ilvl w:val="1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 xml:space="preserve">L’affiche portant avis d’enquête publique, </w:t>
      </w:r>
    </w:p>
    <w:p w14:paraId="5ABAEB8B" w14:textId="6150C942" w:rsidR="00BF3C87" w:rsidRPr="00A4702D" w:rsidRDefault="00BF3C87" w:rsidP="004D07B4">
      <w:pPr>
        <w:pStyle w:val="Paragraphedeliste"/>
        <w:numPr>
          <w:ilvl w:val="1"/>
          <w:numId w:val="1"/>
        </w:num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A4702D">
        <w:rPr>
          <w:rFonts w:ascii="Arial" w:eastAsia="Times New Roman" w:hAnsi="Arial" w:cs="Arial"/>
          <w:sz w:val="20"/>
          <w:szCs w:val="20"/>
          <w:lang w:eastAsia="fr-FR"/>
        </w:rPr>
        <w:t>Les premiers avis d’enquête dans les journaux officiels le Parisien et l</w:t>
      </w:r>
      <w:r w:rsidR="00DD2194">
        <w:rPr>
          <w:rFonts w:ascii="Arial" w:eastAsia="Times New Roman" w:hAnsi="Arial" w:cs="Arial"/>
          <w:sz w:val="20"/>
          <w:szCs w:val="20"/>
          <w:lang w:eastAsia="fr-FR"/>
        </w:rPr>
        <w:t>e Pays Briard</w:t>
      </w:r>
      <w:r w:rsidR="00BB769B" w:rsidRPr="00A4702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FEB2529" w14:textId="77777777" w:rsidR="00E82495" w:rsidRPr="00A4702D" w:rsidRDefault="00E82495" w:rsidP="00E82495">
      <w:pPr>
        <w:shd w:val="clear" w:color="auto" w:fill="FFFFFF"/>
        <w:spacing w:before="120" w:after="120" w:line="33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AFD84CB" w14:textId="77777777" w:rsidR="004D07B4" w:rsidRPr="00A4702D" w:rsidRDefault="00BF3C87" w:rsidP="00BF3C87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702D">
        <w:rPr>
          <w:rFonts w:ascii="Arial" w:hAnsi="Arial" w:cs="Arial"/>
          <w:sz w:val="20"/>
          <w:szCs w:val="20"/>
        </w:rPr>
        <w:lastRenderedPageBreak/>
        <w:t xml:space="preserve">Le dossier technique composé de : </w:t>
      </w:r>
    </w:p>
    <w:p w14:paraId="3ADC0CA1" w14:textId="46175E3E" w:rsidR="00BF3C87" w:rsidRPr="00A4702D" w:rsidRDefault="00BF3C87" w:rsidP="00BF3C87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4702D">
        <w:rPr>
          <w:rFonts w:ascii="Arial" w:hAnsi="Arial" w:cs="Arial"/>
          <w:sz w:val="20"/>
          <w:szCs w:val="20"/>
        </w:rPr>
        <w:t xml:space="preserve">Le dossier </w:t>
      </w:r>
      <w:r w:rsidR="00A4702D">
        <w:rPr>
          <w:rFonts w:ascii="Arial" w:hAnsi="Arial" w:cs="Arial"/>
          <w:sz w:val="20"/>
          <w:szCs w:val="20"/>
        </w:rPr>
        <w:t>d’</w:t>
      </w:r>
      <w:r w:rsidRPr="00A4702D">
        <w:rPr>
          <w:rFonts w:ascii="Arial" w:hAnsi="Arial" w:cs="Arial"/>
          <w:sz w:val="20"/>
          <w:szCs w:val="20"/>
        </w:rPr>
        <w:t xml:space="preserve">enquête publique de la commune </w:t>
      </w:r>
      <w:r w:rsidR="00D0285F" w:rsidRPr="00A4702D">
        <w:rPr>
          <w:rFonts w:ascii="Arial" w:hAnsi="Arial" w:cs="Arial"/>
          <w:sz w:val="20"/>
          <w:szCs w:val="20"/>
        </w:rPr>
        <w:t>Bois le Roi</w:t>
      </w:r>
      <w:r w:rsidRPr="00A4702D">
        <w:rPr>
          <w:rFonts w:ascii="Arial" w:hAnsi="Arial" w:cs="Arial"/>
          <w:sz w:val="20"/>
          <w:szCs w:val="20"/>
        </w:rPr>
        <w:t xml:space="preserve">, les plans de zonage eaux usées et eaux pluviales, </w:t>
      </w:r>
    </w:p>
    <w:p w14:paraId="26DD4EC3" w14:textId="3BB58DAA" w:rsidR="00BF3C87" w:rsidRPr="00A4702D" w:rsidRDefault="00BF3C87" w:rsidP="00BF3C87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4702D">
        <w:rPr>
          <w:rFonts w:ascii="Arial" w:hAnsi="Arial" w:cs="Arial"/>
          <w:sz w:val="20"/>
          <w:szCs w:val="20"/>
        </w:rPr>
        <w:t xml:space="preserve">Le dossier </w:t>
      </w:r>
      <w:r w:rsidR="00A4702D">
        <w:rPr>
          <w:rFonts w:ascii="Arial" w:hAnsi="Arial" w:cs="Arial"/>
          <w:sz w:val="20"/>
          <w:szCs w:val="20"/>
        </w:rPr>
        <w:t>d’</w:t>
      </w:r>
      <w:r w:rsidRPr="00A4702D">
        <w:rPr>
          <w:rFonts w:ascii="Arial" w:hAnsi="Arial" w:cs="Arial"/>
          <w:sz w:val="20"/>
          <w:szCs w:val="20"/>
        </w:rPr>
        <w:t xml:space="preserve">enquête publique de </w:t>
      </w:r>
      <w:r w:rsidR="00D0285F" w:rsidRPr="00A4702D">
        <w:rPr>
          <w:rFonts w:ascii="Arial" w:hAnsi="Arial" w:cs="Arial"/>
          <w:sz w:val="20"/>
          <w:szCs w:val="20"/>
        </w:rPr>
        <w:t>Chartrettes,</w:t>
      </w:r>
      <w:r w:rsidRPr="00A4702D">
        <w:rPr>
          <w:rFonts w:ascii="Arial" w:hAnsi="Arial" w:cs="Arial"/>
          <w:sz w:val="20"/>
          <w:szCs w:val="20"/>
        </w:rPr>
        <w:t xml:space="preserve"> les plans de zonage eaux usées et eaux pluviales, </w:t>
      </w:r>
    </w:p>
    <w:p w14:paraId="13235341" w14:textId="38B530CD" w:rsidR="00BF3C87" w:rsidRPr="00A4702D" w:rsidRDefault="00BF3C87" w:rsidP="00BF3C87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4702D">
        <w:rPr>
          <w:rFonts w:ascii="Arial" w:hAnsi="Arial" w:cs="Arial"/>
          <w:sz w:val="20"/>
          <w:szCs w:val="20"/>
        </w:rPr>
        <w:t xml:space="preserve">Le dossier </w:t>
      </w:r>
      <w:r w:rsidR="00A4702D">
        <w:rPr>
          <w:rFonts w:ascii="Arial" w:hAnsi="Arial" w:cs="Arial"/>
          <w:sz w:val="20"/>
          <w:szCs w:val="20"/>
        </w:rPr>
        <w:t>d’</w:t>
      </w:r>
      <w:r w:rsidRPr="00A4702D">
        <w:rPr>
          <w:rFonts w:ascii="Arial" w:hAnsi="Arial" w:cs="Arial"/>
          <w:sz w:val="20"/>
          <w:szCs w:val="20"/>
        </w:rPr>
        <w:t xml:space="preserve">enquête publique </w:t>
      </w:r>
      <w:r w:rsidR="00D0285F" w:rsidRPr="00A4702D">
        <w:rPr>
          <w:rFonts w:ascii="Arial" w:hAnsi="Arial" w:cs="Arial"/>
          <w:sz w:val="20"/>
          <w:szCs w:val="20"/>
        </w:rPr>
        <w:t>Fontaine le Port</w:t>
      </w:r>
      <w:r w:rsidRPr="00A4702D">
        <w:rPr>
          <w:rFonts w:ascii="Arial" w:hAnsi="Arial" w:cs="Arial"/>
          <w:sz w:val="20"/>
          <w:szCs w:val="20"/>
        </w:rPr>
        <w:t>, les plans de zonage eaux usées et eaux pluviales.</w:t>
      </w:r>
    </w:p>
    <w:p w14:paraId="4D3D91DF" w14:textId="77777777" w:rsidR="00BF3C87" w:rsidRDefault="00BF3C87" w:rsidP="00BF3C87">
      <w:pPr>
        <w:ind w:left="-10"/>
      </w:pPr>
    </w:p>
    <w:sectPr w:rsidR="00BF3C87" w:rsidSect="00C611E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405F1"/>
    <w:multiLevelType w:val="hybridMultilevel"/>
    <w:tmpl w:val="4972F39E"/>
    <w:lvl w:ilvl="0" w:tplc="CC207D8E">
      <w:numFmt w:val="bullet"/>
      <w:lvlText w:val="-"/>
      <w:lvlJc w:val="left"/>
      <w:pPr>
        <w:ind w:left="35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4"/>
    <w:rsid w:val="00035EE6"/>
    <w:rsid w:val="0014662A"/>
    <w:rsid w:val="00184435"/>
    <w:rsid w:val="00226A22"/>
    <w:rsid w:val="00413984"/>
    <w:rsid w:val="004D07B4"/>
    <w:rsid w:val="005C62A9"/>
    <w:rsid w:val="0060774B"/>
    <w:rsid w:val="00654357"/>
    <w:rsid w:val="008768EE"/>
    <w:rsid w:val="00916BBC"/>
    <w:rsid w:val="00A4702D"/>
    <w:rsid w:val="00BB769B"/>
    <w:rsid w:val="00BF3C87"/>
    <w:rsid w:val="00C611EE"/>
    <w:rsid w:val="00D0285F"/>
    <w:rsid w:val="00DD2194"/>
    <w:rsid w:val="00E8249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52E7"/>
  <w15:chartTrackingRefBased/>
  <w15:docId w15:val="{7691A2A8-66FA-4A4C-A17F-7EDC674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7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8E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3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9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9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9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4A74C9824043AFE2BCD98DE681DF" ma:contentTypeVersion="12" ma:contentTypeDescription="Crée un document." ma:contentTypeScope="" ma:versionID="84627f8ee55781a7d33bc489bb75a557">
  <xsd:schema xmlns:xsd="http://www.w3.org/2001/XMLSchema" xmlns:xs="http://www.w3.org/2001/XMLSchema" xmlns:p="http://schemas.microsoft.com/office/2006/metadata/properties" xmlns:ns2="ba6247c6-3024-44b2-9ebd-b928117d84d6" xmlns:ns3="8733e021-25fa-4ae6-97fb-3f20fb37df90" targetNamespace="http://schemas.microsoft.com/office/2006/metadata/properties" ma:root="true" ma:fieldsID="adbb89a3e32daca4a79efb07311a06d8" ns2:_="" ns3:_="">
    <xsd:import namespace="ba6247c6-3024-44b2-9ebd-b928117d84d6"/>
    <xsd:import namespace="8733e021-25fa-4ae6-97fb-3f20fb37d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247c6-3024-44b2-9ebd-b928117d8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e021-25fa-4ae6-97fb-3f20fb37d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A9C05-5800-45D3-BEFB-B95688BE1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247c6-3024-44b2-9ebd-b928117d84d6"/>
    <ds:schemaRef ds:uri="8733e021-25fa-4ae6-97fb-3f20fb37d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3C911-5811-438B-871C-74E5F941E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5EE94-C3EB-4AD2-92E7-F7C019822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327246-3A0E-4528-9128-E731D4A8C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Daniel</dc:creator>
  <cp:keywords/>
  <dc:description/>
  <cp:lastModifiedBy>Carine Daniel</cp:lastModifiedBy>
  <cp:revision>13</cp:revision>
  <cp:lastPrinted>2018-09-18T07:57:00Z</cp:lastPrinted>
  <dcterms:created xsi:type="dcterms:W3CDTF">2018-09-17T08:52:00Z</dcterms:created>
  <dcterms:modified xsi:type="dcterms:W3CDTF">2020-09-15T08:46:00Z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0x0101006C664A74C9824043AFE2BCD98DE681DF</vt:lpwstr>
  </property>
</Properties>
</file>